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709" w:right="709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709" w:right="709"/>
        <w:jc w:val="center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pStyle w:val="812"/>
        <w:ind w:left="709" w:right="709"/>
        <w:jc w:val="center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ПОЯСНИТЕЛЬНАЯ ЗАПИСКА</w:t>
      </w:r>
      <w:r>
        <w:rPr>
          <w:sz w:val="28"/>
          <w:szCs w:val="28"/>
        </w:rPr>
      </w:r>
      <w:r/>
    </w:p>
    <w:p>
      <w:pPr>
        <w:pStyle w:val="812"/>
        <w:ind w:left="709" w:right="709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проекту закона</w:t>
      </w:r>
      <w:r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pStyle w:val="812"/>
        <w:ind w:left="709" w:right="709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«Об основах регионального государственного контроля (надзора) в области технического состояния и эксплуатации аттракци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нов в Алтайском крае»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внесении изменений в закон Алтайского края «Об основах регионального государственного надзора в области технического состояния и эксплуатации самоходных машин и других видов техники, аттракционов в Алтайском крае»</w:t>
      </w:r>
      <w:r>
        <w:rPr>
          <w:sz w:val="28"/>
          <w:szCs w:val="28"/>
        </w:rPr>
      </w:r>
      <w:r/>
    </w:p>
    <w:p>
      <w:pPr>
        <w:pStyle w:val="812"/>
        <w:ind w:left="-142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3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проект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закона </w:t>
      </w:r>
      <w:r>
        <w:rPr>
          <w:sz w:val="28"/>
          <w:szCs w:val="28"/>
        </w:rPr>
        <w:t xml:space="preserve">подготовлен </w:t>
      </w:r>
      <w:r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реализации Федерального закона от 31.07.2020 № 248-ФЗ «О государственном контроле (надзоре) и муниципальном контроле в Российской Федерации» (далее – «Федеральный закон № 248-ФЗ»).</w:t>
      </w:r>
      <w:r>
        <w:rPr>
          <w:sz w:val="28"/>
          <w:szCs w:val="28"/>
        </w:rPr>
      </w:r>
      <w:r/>
    </w:p>
    <w:p>
      <w:pPr>
        <w:pStyle w:val="83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</w:t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01.01.2023 </w:t>
      </w:r>
      <w:r>
        <w:rPr>
          <w:sz w:val="28"/>
          <w:szCs w:val="28"/>
        </w:rPr>
        <w:t xml:space="preserve">вступает в силу </w:t>
      </w:r>
      <w:r>
        <w:rPr>
          <w:sz w:val="28"/>
          <w:szCs w:val="28"/>
        </w:rPr>
        <w:t xml:space="preserve">глава 7 </w:t>
      </w:r>
      <w:r>
        <w:rPr>
          <w:sz w:val="28"/>
          <w:szCs w:val="28"/>
          <w:shd w:val="clear" w:color="auto" w:fill="ffffff"/>
        </w:rPr>
        <w:t xml:space="preserve">Федеральн</w:t>
      </w:r>
      <w:r>
        <w:rPr>
          <w:sz w:val="28"/>
          <w:szCs w:val="28"/>
          <w:shd w:val="clear" w:color="auto" w:fill="ffffff"/>
        </w:rPr>
        <w:t xml:space="preserve">ого</w:t>
      </w:r>
      <w:r>
        <w:rPr>
          <w:sz w:val="28"/>
          <w:szCs w:val="28"/>
          <w:shd w:val="clear" w:color="auto" w:fill="ffffff"/>
        </w:rPr>
        <w:t xml:space="preserve"> закон</w:t>
      </w:r>
      <w:r>
        <w:rPr>
          <w:sz w:val="28"/>
          <w:szCs w:val="28"/>
          <w:shd w:val="clear" w:color="auto" w:fill="ffffff"/>
        </w:rPr>
        <w:t xml:space="preserve">а</w:t>
      </w:r>
      <w:r>
        <w:rPr>
          <w:sz w:val="28"/>
          <w:szCs w:val="28"/>
          <w:shd w:val="clear" w:color="auto" w:fill="ffffff"/>
        </w:rPr>
        <w:t xml:space="preserve"> от 21.12.2021 № </w:t>
      </w:r>
      <w:r>
        <w:rPr>
          <w:rStyle w:val="836"/>
          <w:i w:val="0"/>
          <w:iCs w:val="0"/>
          <w:sz w:val="28"/>
          <w:szCs w:val="28"/>
        </w:rPr>
        <w:t xml:space="preserve">414</w:t>
      </w:r>
      <w:r>
        <w:rPr>
          <w:sz w:val="28"/>
          <w:szCs w:val="28"/>
          <w:shd w:val="clear" w:color="auto" w:fill="ffffff"/>
        </w:rPr>
        <w:t xml:space="preserve">-</w:t>
      </w:r>
      <w:r>
        <w:rPr>
          <w:rStyle w:val="836"/>
          <w:i w:val="0"/>
          <w:iCs w:val="0"/>
          <w:sz w:val="28"/>
          <w:szCs w:val="28"/>
        </w:rPr>
        <w:t xml:space="preserve">ФЗ «</w:t>
      </w:r>
      <w:r>
        <w:rPr>
          <w:sz w:val="28"/>
          <w:szCs w:val="28"/>
          <w:shd w:val="clear" w:color="auto" w:fill="ffffff"/>
        </w:rPr>
        <w:t xml:space="preserve">Об общих принципах организации публи</w:t>
      </w:r>
      <w:r>
        <w:rPr>
          <w:sz w:val="28"/>
          <w:szCs w:val="28"/>
          <w:shd w:val="clear" w:color="auto" w:fill="ffffff"/>
        </w:rPr>
        <w:t xml:space="preserve">ч</w:t>
      </w:r>
      <w:r>
        <w:rPr>
          <w:sz w:val="28"/>
          <w:szCs w:val="28"/>
          <w:shd w:val="clear" w:color="auto" w:fill="ffffff"/>
        </w:rPr>
        <w:t xml:space="preserve">ной власти в субъектах Российской Федерации», в соответствии с котор</w:t>
      </w:r>
      <w:r>
        <w:rPr>
          <w:sz w:val="28"/>
          <w:szCs w:val="28"/>
          <w:shd w:val="clear" w:color="auto" w:fill="ffffff"/>
        </w:rPr>
        <w:t xml:space="preserve">ой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региональный государственный </w:t>
      </w:r>
      <w:r>
        <w:rPr>
          <w:sz w:val="28"/>
          <w:szCs w:val="28"/>
        </w:rPr>
        <w:t xml:space="preserve">контроль (</w:t>
      </w:r>
      <w:r>
        <w:rPr>
          <w:sz w:val="28"/>
          <w:szCs w:val="28"/>
        </w:rPr>
        <w:t xml:space="preserve">надзор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в области технического состояния и эксплуатации аттракционов отнесен к предмету совместного ведения Российской Федерации и субъектов Российской Федерации как самостоятельный вид контроля (надзора).</w:t>
      </w:r>
      <w:r>
        <w:rPr>
          <w:sz w:val="28"/>
          <w:szCs w:val="28"/>
        </w:rPr>
      </w:r>
      <w:r/>
    </w:p>
    <w:p>
      <w:pPr>
        <w:pStyle w:val="81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Частью 2 статьи 15 Федерального закона № 248-ФЗ установлено, что федеральным законом о виде контроля</w:t>
      </w:r>
      <w:r>
        <w:rPr>
          <w:sz w:val="28"/>
          <w:szCs w:val="28"/>
        </w:rPr>
        <w:t xml:space="preserve"> (надзора)</w:t>
      </w:r>
      <w:r>
        <w:rPr>
          <w:sz w:val="28"/>
          <w:szCs w:val="28"/>
        </w:rPr>
        <w:t xml:space="preserve"> должен быть определен предмет контроля</w:t>
      </w:r>
      <w:r>
        <w:rPr>
          <w:sz w:val="28"/>
          <w:szCs w:val="28"/>
        </w:rPr>
        <w:t xml:space="preserve"> (надзора)</w:t>
      </w:r>
      <w:r>
        <w:rPr>
          <w:sz w:val="28"/>
          <w:szCs w:val="28"/>
        </w:rPr>
        <w:t xml:space="preserve">. В настоящее время федеральный закон, определяющий предмет регионального контроля (надзора) в области технического состояния и эксплуатации аттракционов, не принят.</w:t>
      </w:r>
      <w:r>
        <w:rPr>
          <w:sz w:val="28"/>
          <w:szCs w:val="28"/>
        </w:rPr>
      </w:r>
      <w:r/>
    </w:p>
    <w:p>
      <w:pPr>
        <w:pStyle w:val="812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</w:t>
      </w:r>
      <w:r>
        <w:rPr>
          <w:sz w:val="28"/>
          <w:szCs w:val="28"/>
          <w:shd w:val="clear" w:color="auto" w:fill="ffffff"/>
        </w:rPr>
        <w:t xml:space="preserve"> соответствии с частью 5 статьи 5 </w:t>
      </w:r>
      <w:r>
        <w:rPr>
          <w:color w:val="000000"/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248-ФЗ</w:t>
      </w:r>
      <w:r>
        <w:rPr>
          <w:sz w:val="28"/>
          <w:szCs w:val="28"/>
          <w:shd w:val="clear" w:color="auto" w:fill="ffffff"/>
        </w:rPr>
        <w:t xml:space="preserve">, если федерал</w:t>
      </w:r>
      <w:r>
        <w:rPr>
          <w:sz w:val="28"/>
          <w:szCs w:val="28"/>
          <w:shd w:val="clear" w:color="auto" w:fill="ffffff"/>
        </w:rPr>
        <w:t xml:space="preserve">ь</w:t>
      </w:r>
      <w:r>
        <w:rPr>
          <w:sz w:val="28"/>
          <w:szCs w:val="28"/>
          <w:shd w:val="clear" w:color="auto" w:fill="ffffff"/>
        </w:rPr>
        <w:t xml:space="preserve">ными законами о видах регионального государственного контроля (надзора), ос</w:t>
      </w:r>
      <w:r>
        <w:rPr>
          <w:sz w:val="28"/>
          <w:szCs w:val="28"/>
          <w:shd w:val="clear" w:color="auto" w:fill="ffffff"/>
        </w:rPr>
        <w:t xml:space="preserve">у</w:t>
      </w:r>
      <w:r>
        <w:rPr>
          <w:sz w:val="28"/>
          <w:szCs w:val="28"/>
          <w:shd w:val="clear" w:color="auto" w:fill="ffffff"/>
        </w:rPr>
        <w:t xml:space="preserve">ществляемого в рамках полномочий субъектов Российской Федерации по предм</w:t>
      </w:r>
      <w:r>
        <w:rPr>
          <w:sz w:val="28"/>
          <w:szCs w:val="28"/>
          <w:shd w:val="clear" w:color="auto" w:fill="ffffff"/>
        </w:rPr>
        <w:t xml:space="preserve">е</w:t>
      </w:r>
      <w:r>
        <w:rPr>
          <w:sz w:val="28"/>
          <w:szCs w:val="28"/>
          <w:shd w:val="clear" w:color="auto" w:fill="ffffff"/>
        </w:rPr>
        <w:t xml:space="preserve">там совместного ведения Российской Федерации и субъектов Российской Федер</w:t>
      </w:r>
      <w:r>
        <w:rPr>
          <w:sz w:val="28"/>
          <w:szCs w:val="28"/>
          <w:shd w:val="clear" w:color="auto" w:fill="ffffff"/>
        </w:rPr>
        <w:t xml:space="preserve">а</w:t>
      </w:r>
      <w:r>
        <w:rPr>
          <w:sz w:val="28"/>
          <w:szCs w:val="28"/>
          <w:shd w:val="clear" w:color="auto" w:fill="ffffff"/>
        </w:rPr>
        <w:t xml:space="preserve">ции, не урегулированы положения, которые в соответствии с Федерал</w:t>
      </w:r>
      <w:r>
        <w:rPr>
          <w:sz w:val="28"/>
          <w:szCs w:val="28"/>
          <w:shd w:val="clear" w:color="auto" w:fill="ffffff"/>
        </w:rPr>
        <w:t xml:space="preserve">ь</w:t>
      </w:r>
      <w:r>
        <w:rPr>
          <w:sz w:val="28"/>
          <w:szCs w:val="28"/>
          <w:shd w:val="clear" w:color="auto" w:fill="ffffff"/>
        </w:rPr>
        <w:t xml:space="preserve">ным законом </w:t>
      </w:r>
      <w:r>
        <w:rPr>
          <w:sz w:val="28"/>
          <w:szCs w:val="28"/>
          <w:shd w:val="clear" w:color="auto" w:fill="ffffff"/>
        </w:rPr>
        <w:t xml:space="preserve">№ 248-ФЗ </w:t>
      </w:r>
      <w:r>
        <w:rPr>
          <w:sz w:val="28"/>
          <w:szCs w:val="28"/>
          <w:shd w:val="clear" w:color="auto" w:fill="ffffff"/>
        </w:rPr>
        <w:t xml:space="preserve">устанавливаются федеральными законами о видах контроля, указа</w:t>
      </w:r>
      <w:r>
        <w:rPr>
          <w:sz w:val="28"/>
          <w:szCs w:val="28"/>
          <w:shd w:val="clear" w:color="auto" w:fill="ffffff"/>
        </w:rPr>
        <w:t xml:space="preserve">н</w:t>
      </w:r>
      <w:r>
        <w:rPr>
          <w:sz w:val="28"/>
          <w:szCs w:val="28"/>
          <w:shd w:val="clear" w:color="auto" w:fill="ffffff"/>
        </w:rPr>
        <w:t xml:space="preserve">ные положения могут быть установлены законами субъектов Российской Федер</w:t>
      </w:r>
      <w:r>
        <w:rPr>
          <w:sz w:val="28"/>
          <w:szCs w:val="28"/>
          <w:shd w:val="clear" w:color="auto" w:fill="ffffff"/>
        </w:rPr>
        <w:t xml:space="preserve">а</w:t>
      </w:r>
      <w:r>
        <w:rPr>
          <w:sz w:val="28"/>
          <w:szCs w:val="28"/>
          <w:shd w:val="clear" w:color="auto" w:fill="ffffff"/>
        </w:rPr>
        <w:t xml:space="preserve">ции.</w:t>
      </w:r>
      <w:r>
        <w:rPr>
          <w:sz w:val="28"/>
          <w:szCs w:val="28"/>
        </w:rPr>
      </w:r>
      <w:r/>
    </w:p>
    <w:p>
      <w:pPr>
        <w:pStyle w:val="83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 и с ц</w:t>
      </w:r>
      <w:r>
        <w:rPr>
          <w:sz w:val="28"/>
          <w:szCs w:val="28"/>
        </w:rPr>
        <w:t xml:space="preserve">елью соблюдения указанной выше нормы Федерального закона № 248-ФЗ представляется необходимым до принятия федерального закона о региональном контроле (надзоре) в области технического состояния и эксплуатации аттракционов урегулировать данные правоотношения </w:t>
      </w:r>
      <w:r>
        <w:rPr>
          <w:sz w:val="28"/>
          <w:szCs w:val="28"/>
        </w:rPr>
        <w:t xml:space="preserve">законом Алтайского края.</w:t>
      </w:r>
      <w:r>
        <w:rPr>
          <w:sz w:val="28"/>
          <w:szCs w:val="28"/>
        </w:rPr>
      </w:r>
      <w:r/>
    </w:p>
    <w:p>
      <w:pPr>
        <w:pStyle w:val="812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Данный подход соответствует принципу опережающего правового регулирования, отраженному в части 3 статьи 3 Федерального закона от 21.12.2021 № 414-ФЗ «Об общих принципах организации публичной власти в субъектах Российской Федерации»</w:t>
      </w:r>
      <w:r>
        <w:rPr>
          <w:bCs/>
          <w:sz w:val="28"/>
          <w:szCs w:val="28"/>
        </w:rPr>
        <w:t xml:space="preserve">, а также согласованной позиции Генеральной прокуратуры Российской Ф</w:t>
      </w:r>
      <w:r>
        <w:rPr>
          <w:bCs/>
          <w:sz w:val="28"/>
          <w:szCs w:val="28"/>
        </w:rPr>
        <w:t xml:space="preserve">едерации и Минэкономразвития России (протокол заседания Межведомственной рабочей группы по вопросам реализации норм Федерального закона № 248-ФЗ от 29.08.2022 № 37-Д24 </w:t>
        <w:br/>
        <w:t xml:space="preserve">«О разъяснении отдельных вопросов осуществления контрольной (надзорной) деятельности»).</w:t>
      </w:r>
      <w:r>
        <w:rPr>
          <w:sz w:val="28"/>
          <w:szCs w:val="28"/>
        </w:rPr>
      </w:r>
      <w:r/>
    </w:p>
    <w:p>
      <w:pPr>
        <w:pStyle w:val="812"/>
        <w:ind w:firstLine="708"/>
        <w:jc w:val="both"/>
        <w:tabs>
          <w:tab w:val="left" w:pos="37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аконопроектом </w:t>
      </w:r>
      <w:r>
        <w:rPr>
          <w:sz w:val="28"/>
          <w:szCs w:val="28"/>
        </w:rPr>
        <w:t xml:space="preserve">также </w:t>
      </w:r>
      <w:r>
        <w:rPr>
          <w:sz w:val="28"/>
          <w:szCs w:val="28"/>
        </w:rPr>
        <w:t xml:space="preserve">вносятся </w:t>
      </w:r>
      <w:r>
        <w:rPr>
          <w:sz w:val="28"/>
          <w:szCs w:val="28"/>
        </w:rPr>
        <w:t xml:space="preserve">иные </w:t>
      </w:r>
      <w:r>
        <w:rPr>
          <w:sz w:val="28"/>
          <w:szCs w:val="28"/>
        </w:rPr>
        <w:t xml:space="preserve">изменени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уточняющего,</w:t>
      </w:r>
      <w:r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дакционного и юридико-технического характера.</w:t>
      </w:r>
      <w:r>
        <w:rPr>
          <w:sz w:val="28"/>
          <w:szCs w:val="28"/>
        </w:rPr>
      </w:r>
      <w:r/>
    </w:p>
    <w:p>
      <w:pPr>
        <w:pStyle w:val="812"/>
        <w:ind w:firstLine="708"/>
        <w:jc w:val="both"/>
        <w:tabs>
          <w:tab w:val="left" w:pos="37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Реализация закона</w:t>
      </w:r>
      <w:r>
        <w:rPr>
          <w:sz w:val="28"/>
          <w:szCs w:val="28"/>
        </w:rPr>
        <w:t xml:space="preserve"> не </w:t>
      </w:r>
      <w:r>
        <w:rPr>
          <w:sz w:val="28"/>
          <w:szCs w:val="28"/>
        </w:rPr>
        <w:t xml:space="preserve">повлечет</w:t>
      </w:r>
      <w:r>
        <w:rPr>
          <w:sz w:val="28"/>
          <w:szCs w:val="28"/>
        </w:rPr>
        <w:t xml:space="preserve"> дополнительных </w:t>
      </w:r>
      <w:r>
        <w:rPr>
          <w:sz w:val="28"/>
          <w:szCs w:val="28"/>
        </w:rPr>
        <w:t xml:space="preserve">расходов</w:t>
      </w:r>
      <w:r>
        <w:rPr>
          <w:sz w:val="28"/>
          <w:szCs w:val="28"/>
        </w:rPr>
        <w:t xml:space="preserve"> из </w:t>
      </w:r>
      <w:r>
        <w:rPr>
          <w:sz w:val="28"/>
          <w:szCs w:val="28"/>
        </w:rPr>
        <w:t xml:space="preserve">средств </w:t>
      </w:r>
      <w:r>
        <w:rPr>
          <w:sz w:val="28"/>
          <w:szCs w:val="28"/>
        </w:rPr>
        <w:t xml:space="preserve">краевого бюджета.</w:t>
      </w:r>
      <w:r>
        <w:rPr>
          <w:sz w:val="28"/>
          <w:szCs w:val="28"/>
        </w:rPr>
      </w:r>
      <w:r/>
    </w:p>
    <w:p>
      <w:pPr>
        <w:ind w:firstLine="708"/>
        <w:jc w:val="both"/>
        <w:tabs>
          <w:tab w:val="left" w:pos="37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708"/>
        <w:jc w:val="both"/>
        <w:tabs>
          <w:tab w:val="left" w:pos="37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12"/>
        <w:ind w:firstLine="708"/>
        <w:jc w:val="both"/>
        <w:tabs>
          <w:tab w:val="left" w:pos="37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tbl>
      <w:tblPr>
        <w:tblW w:w="9464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086"/>
        <w:gridCol w:w="1991"/>
        <w:gridCol w:w="1134"/>
        <w:gridCol w:w="2410"/>
        <w:gridCol w:w="1843"/>
      </w:tblGrid>
      <w:tr>
        <w:trPr>
          <w:trHeight w:val="319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77" w:type="dxa"/>
            <w:vAlign w:val="top"/>
            <w:textDirection w:val="lrTb"/>
            <w:noWrap w:val="false"/>
          </w:tcPr>
          <w:p>
            <w:pPr>
              <w:pStyle w:val="812"/>
              <w:jc w:val="both"/>
            </w:pPr>
            <w:r>
              <w:rPr>
                <w:sz w:val="28"/>
                <w:szCs w:val="28"/>
              </w:rPr>
              <w:t xml:space="preserve">Губернатор Алтайского края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12"/>
              <w:jc w:val="center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vAlign w:val="top"/>
            <w:textDirection w:val="lrTb"/>
            <w:noWrap w:val="false"/>
          </w:tcPr>
          <w:p>
            <w:pPr>
              <w:jc w:val="both"/>
              <w:spacing w:after="0" w:line="240" w:lineRule="exac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постоянного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комитета Алтайского краевого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аконодательного Собрания по правовой политике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bookmarkStart w:id="0" w:name="undefined"/>
            <w:r>
              <w:rPr>
                <w:sz w:val="28"/>
                <w:szCs w:val="28"/>
              </w:rPr>
            </w:r>
            <w:bookmarkEnd w:id="0"/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 местному самоуправлению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77" w:type="dxa"/>
            <w:vAlign w:val="top"/>
            <w:textDirection w:val="lrTb"/>
            <w:noWrap w:val="false"/>
          </w:tcPr>
          <w:p>
            <w:pPr>
              <w:pStyle w:val="812"/>
              <w:jc w:val="center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12"/>
              <w:jc w:val="center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812"/>
              <w:jc w:val="center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86" w:type="dxa"/>
            <w:vAlign w:val="top"/>
            <w:textDirection w:val="lrTb"/>
            <w:noWrap w:val="false"/>
          </w:tcPr>
          <w:p>
            <w:pPr>
              <w:pStyle w:val="812"/>
              <w:ind w:right="-230"/>
              <w:jc w:val="left"/>
            </w:pPr>
            <w:r>
              <w:rPr>
                <w:sz w:val="28"/>
                <w:szCs w:val="28"/>
              </w:rPr>
              <w:t xml:space="preserve">__________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91" w:type="dxa"/>
            <w:vAlign w:val="top"/>
            <w:textDirection w:val="lrTb"/>
            <w:noWrap w:val="false"/>
          </w:tcPr>
          <w:p>
            <w:pPr>
              <w:pStyle w:val="812"/>
              <w:ind w:left="-26"/>
            </w:pPr>
            <w:r>
              <w:rPr>
                <w:sz w:val="28"/>
                <w:szCs w:val="28"/>
              </w:rPr>
              <w:t xml:space="preserve">В.П. Томенко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12"/>
              <w:jc w:val="center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12"/>
              <w:ind w:right="49"/>
            </w:pPr>
            <w:r>
              <w:rPr>
                <w:sz w:val="28"/>
                <w:szCs w:val="28"/>
              </w:rPr>
              <w:t xml:space="preserve">___________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12"/>
              <w:ind w:left="-36" w:hanging="8"/>
            </w:pPr>
            <w:r>
              <w:rPr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Д.А.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Голобородько</w:t>
            </w: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812"/>
        <w:ind w:firstLine="708"/>
        <w:jc w:val="both"/>
        <w:tabs>
          <w:tab w:val="left" w:pos="37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20"/>
        <w:jc w:val="left"/>
        <w:rPr>
          <w:sz w:val="28"/>
          <w:szCs w:val="28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</w:rPr>
      </w:r>
      <w:r/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1134" w:right="850" w:bottom="426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2"/>
      <w:jc w:val="right"/>
    </w:pPr>
    <w:fldSimple w:instr="PAGE \* MERGEFORMAT">
      <w:r>
        <w:t xml:space="preserve">1</w:t>
      </w:r>
    </w:fldSimple>
    <w:r/>
    <w:r/>
  </w:p>
  <w:p>
    <w:pPr>
      <w:pStyle w:val="662"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2"/>
      <w:jc w:val="right"/>
    </w:pPr>
    <w:r/>
    <w:r/>
  </w:p>
  <w:p>
    <w:pPr>
      <w:pStyle w:val="662"/>
    </w:pP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2"/>
    <w:next w:val="812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2"/>
    <w:next w:val="812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2"/>
    <w:next w:val="812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2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next w:val="812"/>
    <w:link w:val="812"/>
    <w:qFormat/>
    <w:rPr>
      <w:sz w:val="24"/>
      <w:szCs w:val="24"/>
      <w:lang w:val="ru-RU" w:eastAsia="ru-RU" w:bidi="ar-SA"/>
    </w:rPr>
  </w:style>
  <w:style w:type="character" w:styleId="813">
    <w:name w:val="Основной шрифт абзаца"/>
    <w:next w:val="813"/>
    <w:link w:val="812"/>
    <w:semiHidden/>
  </w:style>
  <w:style w:type="table" w:styleId="814">
    <w:name w:val="Обычная таблица"/>
    <w:next w:val="814"/>
    <w:link w:val="812"/>
    <w:semiHidden/>
    <w:tblPr/>
  </w:style>
  <w:style w:type="numbering" w:styleId="815">
    <w:name w:val="Нет списка"/>
    <w:next w:val="815"/>
    <w:link w:val="812"/>
    <w:semiHidden/>
  </w:style>
  <w:style w:type="table" w:styleId="816">
    <w:name w:val="Сетка таблицы"/>
    <w:basedOn w:val="814"/>
    <w:next w:val="816"/>
    <w:link w:val="812"/>
    <w:tblPr/>
  </w:style>
  <w:style w:type="paragraph" w:styleId="817">
    <w:name w:val="Текст выноски"/>
    <w:basedOn w:val="812"/>
    <w:next w:val="817"/>
    <w:link w:val="812"/>
    <w:semiHidden/>
    <w:rPr>
      <w:rFonts w:ascii="Tahoma" w:hAnsi="Tahoma" w:cs="Tahoma"/>
      <w:sz w:val="16"/>
      <w:szCs w:val="16"/>
    </w:rPr>
  </w:style>
  <w:style w:type="paragraph" w:styleId="818">
    <w:name w:val="Основной текст с отступом 3"/>
    <w:basedOn w:val="812"/>
    <w:next w:val="818"/>
    <w:link w:val="819"/>
    <w:unhideWhenUsed/>
    <w:pPr>
      <w:ind w:left="-426" w:firstLine="1146"/>
      <w:jc w:val="both"/>
    </w:pPr>
    <w:rPr>
      <w:sz w:val="28"/>
      <w:szCs w:val="20"/>
      <w:lang w:val="en-US" w:eastAsia="en-US"/>
    </w:rPr>
  </w:style>
  <w:style w:type="character" w:styleId="819">
    <w:name w:val="Основной текст с отступом 3 Знак"/>
    <w:next w:val="819"/>
    <w:link w:val="818"/>
    <w:rPr>
      <w:sz w:val="28"/>
    </w:rPr>
  </w:style>
  <w:style w:type="paragraph" w:styleId="820">
    <w:name w:val="Основной текст"/>
    <w:basedOn w:val="812"/>
    <w:next w:val="820"/>
    <w:link w:val="821"/>
    <w:pPr>
      <w:spacing w:after="120"/>
    </w:pPr>
    <w:rPr>
      <w:lang w:val="en-US" w:eastAsia="en-US"/>
    </w:rPr>
  </w:style>
  <w:style w:type="character" w:styleId="821">
    <w:name w:val="Основной текст Знак"/>
    <w:next w:val="821"/>
    <w:link w:val="820"/>
    <w:rPr>
      <w:sz w:val="24"/>
      <w:szCs w:val="24"/>
    </w:rPr>
  </w:style>
  <w:style w:type="paragraph" w:styleId="822">
    <w:name w:val="ConsPlusNormal"/>
    <w:next w:val="822"/>
    <w:link w:val="812"/>
    <w:rPr>
      <w:sz w:val="28"/>
      <w:szCs w:val="28"/>
      <w:lang w:val="ru-RU" w:eastAsia="ru-RU" w:bidi="ar-SA"/>
    </w:rPr>
  </w:style>
  <w:style w:type="paragraph" w:styleId="823">
    <w:name w:val="Обычный (веб)"/>
    <w:basedOn w:val="812"/>
    <w:next w:val="823"/>
    <w:link w:val="812"/>
    <w:uiPriority w:val="99"/>
    <w:unhideWhenUsed/>
    <w:pPr>
      <w:spacing w:before="100" w:beforeAutospacing="1" w:after="100" w:afterAutospacing="1"/>
    </w:pPr>
  </w:style>
  <w:style w:type="paragraph" w:styleId="824">
    <w:name w:val="Основной текст с отступом"/>
    <w:basedOn w:val="812"/>
    <w:next w:val="824"/>
    <w:link w:val="825"/>
    <w:unhideWhenUsed/>
    <w:pPr>
      <w:ind w:left="283"/>
      <w:spacing w:after="120" w:line="276" w:lineRule="auto"/>
    </w:pPr>
    <w:rPr>
      <w:rFonts w:ascii="Calibri" w:hAnsi="Calibri"/>
      <w:sz w:val="22"/>
      <w:szCs w:val="22"/>
      <w:lang w:val="en-US" w:eastAsia="en-US"/>
    </w:rPr>
  </w:style>
  <w:style w:type="character" w:styleId="825">
    <w:name w:val="Основной текст с отступом Знак"/>
    <w:next w:val="825"/>
    <w:link w:val="824"/>
    <w:rPr>
      <w:rFonts w:ascii="Calibri" w:hAnsi="Calibri"/>
      <w:sz w:val="22"/>
      <w:szCs w:val="22"/>
    </w:rPr>
  </w:style>
  <w:style w:type="paragraph" w:styleId="826">
    <w:name w:val="Верхний колонтитул"/>
    <w:basedOn w:val="812"/>
    <w:next w:val="826"/>
    <w:link w:val="827"/>
    <w:uiPriority w:val="99"/>
    <w:pPr>
      <w:tabs>
        <w:tab w:val="center" w:pos="4677" w:leader="none"/>
        <w:tab w:val="right" w:pos="9355" w:leader="none"/>
      </w:tabs>
    </w:pPr>
  </w:style>
  <w:style w:type="character" w:styleId="827">
    <w:name w:val="Верхний колонтитул Знак"/>
    <w:next w:val="827"/>
    <w:link w:val="826"/>
    <w:uiPriority w:val="99"/>
    <w:rPr>
      <w:sz w:val="24"/>
      <w:szCs w:val="24"/>
    </w:rPr>
  </w:style>
  <w:style w:type="paragraph" w:styleId="828">
    <w:name w:val="Нижний колонтитул"/>
    <w:basedOn w:val="812"/>
    <w:next w:val="828"/>
    <w:link w:val="829"/>
    <w:pPr>
      <w:tabs>
        <w:tab w:val="center" w:pos="4677" w:leader="none"/>
        <w:tab w:val="right" w:pos="9355" w:leader="none"/>
      </w:tabs>
    </w:pPr>
  </w:style>
  <w:style w:type="character" w:styleId="829">
    <w:name w:val="Нижний колонтитул Знак"/>
    <w:next w:val="829"/>
    <w:link w:val="828"/>
    <w:rPr>
      <w:sz w:val="24"/>
      <w:szCs w:val="24"/>
    </w:rPr>
  </w:style>
  <w:style w:type="character" w:styleId="830">
    <w:name w:val="Гиперссылка"/>
    <w:next w:val="830"/>
    <w:link w:val="812"/>
    <w:rPr>
      <w:color w:val="0000ff"/>
      <w:u w:val="single"/>
    </w:rPr>
  </w:style>
  <w:style w:type="character" w:styleId="831">
    <w:name w:val="Знак примечания"/>
    <w:next w:val="831"/>
    <w:link w:val="812"/>
    <w:rPr>
      <w:sz w:val="16"/>
      <w:szCs w:val="16"/>
    </w:rPr>
  </w:style>
  <w:style w:type="paragraph" w:styleId="832">
    <w:name w:val="Текст примечания"/>
    <w:basedOn w:val="812"/>
    <w:next w:val="832"/>
    <w:link w:val="833"/>
    <w:rPr>
      <w:sz w:val="20"/>
      <w:szCs w:val="20"/>
    </w:rPr>
  </w:style>
  <w:style w:type="character" w:styleId="833">
    <w:name w:val="Текст примечания Знак"/>
    <w:basedOn w:val="813"/>
    <w:next w:val="833"/>
    <w:link w:val="832"/>
  </w:style>
  <w:style w:type="paragraph" w:styleId="834">
    <w:name w:val="Тема примечания"/>
    <w:basedOn w:val="832"/>
    <w:next w:val="832"/>
    <w:link w:val="835"/>
    <w:rPr>
      <w:b/>
      <w:bCs/>
    </w:rPr>
  </w:style>
  <w:style w:type="character" w:styleId="835">
    <w:name w:val="Тема примечания Знак"/>
    <w:next w:val="835"/>
    <w:link w:val="834"/>
    <w:rPr>
      <w:b/>
      <w:bCs/>
    </w:rPr>
  </w:style>
  <w:style w:type="character" w:styleId="836">
    <w:name w:val="Выделение"/>
    <w:next w:val="836"/>
    <w:link w:val="812"/>
    <w:uiPriority w:val="20"/>
    <w:qFormat/>
    <w:rPr>
      <w:i/>
      <w:iCs/>
    </w:rPr>
  </w:style>
  <w:style w:type="character" w:styleId="837">
    <w:name w:val="highlightsearch"/>
    <w:next w:val="837"/>
    <w:link w:val="812"/>
  </w:style>
  <w:style w:type="character" w:styleId="838" w:default="1">
    <w:name w:val="Default Paragraph Font"/>
    <w:uiPriority w:val="1"/>
    <w:semiHidden/>
    <w:unhideWhenUsed/>
  </w:style>
  <w:style w:type="numbering" w:styleId="839" w:default="1">
    <w:name w:val="No List"/>
    <w:uiPriority w:val="99"/>
    <w:semiHidden/>
    <w:unhideWhenUsed/>
  </w:style>
  <w:style w:type="table" w:styleId="84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KSND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User</dc:creator>
  <cp:revision>13</cp:revision>
  <dcterms:created xsi:type="dcterms:W3CDTF">2022-11-02T06:54:00Z</dcterms:created>
  <dcterms:modified xsi:type="dcterms:W3CDTF">2022-12-01T03:55:47Z</dcterms:modified>
  <cp:version>917504</cp:version>
</cp:coreProperties>
</file>